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4F5C7E" w:rsidRPr="00620B19" w:rsidRDefault="004F5C7E" w:rsidP="004F5C7E">
      <w:pPr>
        <w:tabs>
          <w:tab w:val="left" w:pos="14656"/>
        </w:tabs>
        <w:ind w:left="851"/>
        <w:jc w:val="center"/>
        <w:rPr>
          <w:b/>
          <w:sz w:val="20"/>
          <w:lang w:eastAsia="lt-LT"/>
        </w:rPr>
      </w:pPr>
      <w:r w:rsidRPr="00620B19">
        <w:rPr>
          <w:b/>
          <w:lang w:eastAsia="lt-LT"/>
        </w:rPr>
        <w:t xml:space="preserve">KLAIPĖDOS </w:t>
      </w:r>
      <w:r>
        <w:rPr>
          <w:b/>
          <w:lang w:eastAsia="lt-LT"/>
        </w:rPr>
        <w:t>LOPŠELIO-DARŽELIO „DOBILIUKAS“</w:t>
      </w:r>
    </w:p>
    <w:p w:rsidR="004F5C7E" w:rsidRDefault="004F5C7E" w:rsidP="004F5C7E">
      <w:pPr>
        <w:jc w:val="center"/>
        <w:rPr>
          <w:b/>
          <w:lang w:eastAsia="lt-LT"/>
        </w:rPr>
      </w:pPr>
      <w:r>
        <w:rPr>
          <w:b/>
          <w:lang w:eastAsia="lt-LT"/>
        </w:rPr>
        <w:t>2021 METŲ VEIKLOS ATASKAITA</w:t>
      </w:r>
    </w:p>
    <w:p w:rsidR="00F47BC3" w:rsidRDefault="00F47BC3" w:rsidP="00A672AA">
      <w:pPr>
        <w:ind w:firstLine="709"/>
        <w:jc w:val="both"/>
      </w:pPr>
    </w:p>
    <w:tbl>
      <w:tblPr>
        <w:tblpPr w:leftFromText="180" w:rightFromText="180" w:vertAnchor="text" w:horzAnchor="margin" w:tblpY="143"/>
        <w:tblW w:w="9747" w:type="dxa"/>
        <w:tblLayout w:type="fixed"/>
        <w:tblLook w:val="04A0" w:firstRow="1" w:lastRow="0" w:firstColumn="1" w:lastColumn="0" w:noHBand="0" w:noVBand="1"/>
      </w:tblPr>
      <w:tblGrid>
        <w:gridCol w:w="9747"/>
      </w:tblGrid>
      <w:tr w:rsidR="00F47BC3" w:rsidTr="00557389">
        <w:tc>
          <w:tcPr>
            <w:tcW w:w="9747" w:type="dxa"/>
          </w:tcPr>
          <w:tbl>
            <w:tblPr>
              <w:tblpPr w:leftFromText="180" w:rightFromText="180" w:vertAnchor="text" w:horzAnchor="margin" w:tblpY="143"/>
              <w:tblW w:w="9747" w:type="dxa"/>
              <w:tblLayout w:type="fixed"/>
              <w:tblLook w:val="04A0" w:firstRow="1" w:lastRow="0" w:firstColumn="1" w:lastColumn="0" w:noHBand="0" w:noVBand="1"/>
            </w:tblPr>
            <w:tblGrid>
              <w:gridCol w:w="9747"/>
            </w:tblGrid>
            <w:tr w:rsidR="00A0069E" w:rsidTr="00A0069E">
              <w:tc>
                <w:tcPr>
                  <w:tcW w:w="9747" w:type="dxa"/>
                </w:tcPr>
                <w:p w:rsidR="00A0069E" w:rsidRDefault="00A0069E" w:rsidP="00A0069E">
                  <w:pPr>
                    <w:ind w:firstLine="851"/>
                    <w:jc w:val="both"/>
                  </w:pPr>
                  <w:r>
                    <w:t xml:space="preserve">Klaipėdos lopšelis-darželis „Dobiliukas“ (toliau – Įstaiga) įgyvendina ikimokyklinio, priešmokyklinio ugdymo ir </w:t>
                  </w:r>
                  <w:r>
                    <w:rPr>
                      <w:lang w:eastAsia="lt-LT"/>
                    </w:rPr>
                    <w:t>4 neformaliojo vaikų švietimo programas</w:t>
                  </w:r>
                  <w:r>
                    <w:t>. 2021</w:t>
                  </w:r>
                  <w:r w:rsidRPr="00191C97">
                    <w:t xml:space="preserve">-09-01 duomenimis </w:t>
                  </w:r>
                  <w:r>
                    <w:t>Įstaigoje</w:t>
                  </w:r>
                  <w:r w:rsidRPr="00191C97">
                    <w:t xml:space="preserve"> </w:t>
                  </w:r>
                  <w:r>
                    <w:t xml:space="preserve">veikė 10 grupių, iš jų 8 ikimokyklinio ugdymo grupes lankė 131 vaikas, 2 priešmokyklinio ugdymo grupes lankė 37 vaikai, iš viso </w:t>
                  </w:r>
                  <w:r w:rsidRPr="00191C97">
                    <w:t xml:space="preserve">ugdyti </w:t>
                  </w:r>
                  <w:r>
                    <w:t>168 vaikai, iš kurių 12 specialiuosius ugdymosi poreikius (toliau – SUP) turintys vaikai (2020</w:t>
                  </w:r>
                  <w:r w:rsidRPr="00191C97">
                    <w:t xml:space="preserve"> m. – </w:t>
                  </w:r>
                  <w:r>
                    <w:t>182, iš jų 11 SUP turintys vaikai). Dirbo 47 darbuotojai, t.y. 45,55 etato (2020 m. – 46 darbuotojai, 45,55 etato), iš jų 23 pedagogai, t. y. 22 etatai ir 24 nepedagoginiai darbuotojai, t. y. 23,55 etato.</w:t>
                  </w:r>
                </w:p>
                <w:p w:rsidR="00A0069E" w:rsidRDefault="00A0069E" w:rsidP="00A0069E">
                  <w:pPr>
                    <w:ind w:firstLine="851"/>
                    <w:jc w:val="both"/>
                  </w:pPr>
                  <w:r w:rsidRPr="00403D95">
                    <w:t>Pr</w:t>
                  </w:r>
                  <w:r>
                    <w:t>aėjusiais metais Įstaiga</w:t>
                  </w:r>
                  <w:r w:rsidRPr="00403D95">
                    <w:t xml:space="preserve"> veikė vadovaudamasi 2021–2023 m. strateginiu planu (toliau – Strateginis planas) ir 2021 m. veiklos planu (toliau – Veiklos planas). 2021 m. buvo siekiama įgyvendinti tris strateginius </w:t>
                  </w:r>
                  <w:r w:rsidRPr="009D7E6F">
                    <w:t>prioritetus:</w:t>
                  </w:r>
                  <w:r>
                    <w:t xml:space="preserve"> </w:t>
                  </w:r>
                  <w:r w:rsidRPr="009D7E6F">
                    <w:t>1)</w:t>
                  </w:r>
                  <w:r>
                    <w:t xml:space="preserve"> t</w:t>
                  </w:r>
                  <w:r w:rsidRPr="009D7E6F">
                    <w:t>iks</w:t>
                  </w:r>
                  <w:r w:rsidRPr="000B0492">
                    <w:t>lingas profesinis pe</w:t>
                  </w:r>
                  <w:r>
                    <w:t xml:space="preserve">dagogų kompetencijų tobulinimas; </w:t>
                  </w:r>
                  <w:r w:rsidRPr="000B0492">
                    <w:t xml:space="preserve">2) </w:t>
                  </w:r>
                  <w:r>
                    <w:t>m</w:t>
                  </w:r>
                  <w:r w:rsidRPr="000B0492">
                    <w:t>okinių pasiekimų ir veiksmingos švietimo pagalbos įvairių geb</w:t>
                  </w:r>
                  <w:r>
                    <w:t>ėjimų vaikams teikimo gerinimas;</w:t>
                  </w:r>
                  <w:r w:rsidRPr="000B0492">
                    <w:t xml:space="preserve"> 3) </w:t>
                  </w:r>
                  <w:r>
                    <w:t>u</w:t>
                  </w:r>
                  <w:r w:rsidRPr="000B0492">
                    <w:t>gdymo kokybės užtikrinimas</w:t>
                  </w:r>
                  <w:r>
                    <w:t>.</w:t>
                  </w:r>
                </w:p>
                <w:p w:rsidR="00A0069E" w:rsidRDefault="00A0069E" w:rsidP="00A0069E">
                  <w:pPr>
                    <w:ind w:firstLine="851"/>
                    <w:jc w:val="both"/>
                  </w:pPr>
                  <w:r w:rsidRPr="000B0492">
                    <w:t>Siekiant S</w:t>
                  </w:r>
                  <w:r>
                    <w:t xml:space="preserve">trateginio plano pirmojo tikslo </w:t>
                  </w:r>
                  <w:r w:rsidRPr="000B0492">
                    <w:t>– užtikrinti kokybišką ugdymo proceso organizavimą – Įstaigos veikla buvo orientuojama į dviejų uždavinių įgyvendinimą:</w:t>
                  </w:r>
                </w:p>
                <w:p w:rsidR="00A0069E" w:rsidRPr="00380158" w:rsidRDefault="00A0069E" w:rsidP="00A0069E">
                  <w:pPr>
                    <w:ind w:firstLine="851"/>
                    <w:jc w:val="both"/>
                  </w:pPr>
                  <w:r>
                    <w:t xml:space="preserve">– </w:t>
                  </w:r>
                  <w:r w:rsidRPr="00380158">
                    <w:t xml:space="preserve">įgyvendinant pirmąjį uždavinį – sudaryti sąlygas ugdytis ir gerinti ugdymo proceso kokybę – vykdytos Strateginiame plane numatytos ugdymo proceso ir aplinkos užtikrinimo, darbuotojų kvalifikacijos tobulinimo ir atestacijos vykdymo, vaikų pažinimo ir saviraškos poreikių tenkinimo priemonės. </w:t>
                  </w:r>
                  <w:r w:rsidRPr="00323619">
                    <w:rPr>
                      <w:lang w:eastAsia="lt-LT"/>
                    </w:rPr>
                    <w:t xml:space="preserve">Tęsta veikla aktualizuojant ir tobulinant vaikų pasiekimų gerinimą ugdymo(si) kokybės užtikrinimo kontekste. </w:t>
                  </w:r>
                  <w:r>
                    <w:rPr>
                      <w:lang w:eastAsia="lt-LT"/>
                    </w:rPr>
                    <w:t>Atsižvelgiant į</w:t>
                  </w:r>
                  <w:r w:rsidRPr="00323619">
                    <w:rPr>
                      <w:lang w:eastAsia="lt-LT"/>
                    </w:rPr>
                    <w:t xml:space="preserve"> 2019–2021 m. vaikų</w:t>
                  </w:r>
                  <w:r>
                    <w:rPr>
                      <w:lang w:eastAsia="lt-LT"/>
                    </w:rPr>
                    <w:t xml:space="preserve"> pasiekimų analizės </w:t>
                  </w:r>
                  <w:r w:rsidRPr="00CB272A">
                    <w:rPr>
                      <w:lang w:eastAsia="lt-LT"/>
                    </w:rPr>
                    <w:t>duomenis</w:t>
                  </w:r>
                  <w:r>
                    <w:rPr>
                      <w:lang w:eastAsia="lt-LT"/>
                    </w:rPr>
                    <w:t>,</w:t>
                  </w:r>
                  <w:r w:rsidRPr="00323619">
                    <w:rPr>
                      <w:lang w:eastAsia="lt-LT"/>
                    </w:rPr>
                    <w:t xml:space="preserve"> </w:t>
                  </w:r>
                  <w:r>
                    <w:rPr>
                      <w:lang w:eastAsia="lt-LT"/>
                    </w:rPr>
                    <w:t>p</w:t>
                  </w:r>
                  <w:r w:rsidRPr="00323619">
                    <w:rPr>
                      <w:lang w:eastAsia="lt-LT"/>
                    </w:rPr>
                    <w:t>arengta Įstaigos vaikų pasiekimų gerinimo strategija</w:t>
                  </w:r>
                  <w:r>
                    <w:rPr>
                      <w:lang w:eastAsia="lt-LT"/>
                    </w:rPr>
                    <w:t xml:space="preserve"> (toliau – VPG strategija) 2022</w:t>
                  </w:r>
                  <w:r w:rsidRPr="00323619">
                    <w:rPr>
                      <w:lang w:eastAsia="lt-LT"/>
                    </w:rPr>
                    <w:t>–2</w:t>
                  </w:r>
                  <w:r>
                    <w:rPr>
                      <w:lang w:eastAsia="lt-LT"/>
                    </w:rPr>
                    <w:t xml:space="preserve">024 metams. VPG strategija įtvirtino pažangos siekį vaikų komunikavimo, pažinimo ir socialinių kompetencijų ugdymo srityse. </w:t>
                  </w:r>
                  <w:r w:rsidRPr="001075EC">
                    <w:rPr>
                      <w:lang w:eastAsia="lt-LT"/>
                    </w:rPr>
                    <w:t xml:space="preserve">Orientuojantis į </w:t>
                  </w:r>
                  <w:r>
                    <w:rPr>
                      <w:lang w:eastAsia="lt-LT"/>
                    </w:rPr>
                    <w:t xml:space="preserve">novatorišką ugdymo turinį ir siekiant kiekvieno vaiko ugdymo(si) sėkmės, 2021 m. įgyvendinti ilgalaikiai tęstiniai tarptautiniai ir šalies projektai („Sveikatiada“, „Futboliukas“, „Teniso veiklų integracija“, „Vokiečių kalba su Hans Hase priešmokykliniame ugdyme“ ir t. t.), Sveikatą stiprinančių mokyklų tinklo 2019–2023 m. programa </w:t>
                  </w:r>
                  <w:r>
                    <w:t>„Sveikatos pėdsekiai“,</w:t>
                  </w:r>
                  <w:r w:rsidRPr="00AB5BD4">
                    <w:t xml:space="preserve"> </w:t>
                  </w:r>
                  <w:r>
                    <w:rPr>
                      <w:lang w:eastAsia="lt-LT"/>
                    </w:rPr>
                    <w:t xml:space="preserve">socializacijos („Zipio draugai“, „Kimochis“), prevencinės smurto ir patyčių programos, kitos Įstaigos, šalies ar tarptautinių projektų (97), pažintinių-edukacinių ir kultūrinių-saviraiškos renginių (47) programos. </w:t>
                  </w:r>
                  <w:r>
                    <w:t>Vykdyta 8</w:t>
                  </w:r>
                  <w:r w:rsidRPr="00B468E2">
                    <w:t xml:space="preserve"> šalies ir Įstaigos teminių savaičių</w:t>
                  </w:r>
                  <w:r>
                    <w:t xml:space="preserve"> </w:t>
                  </w:r>
                  <w:r w:rsidRPr="00B468E2">
                    <w:t>/</w:t>
                  </w:r>
                  <w:r>
                    <w:t xml:space="preserve"> </w:t>
                  </w:r>
                  <w:r w:rsidRPr="00B468E2">
                    <w:t>mėnesių veikla</w:t>
                  </w:r>
                  <w:r>
                    <w:t xml:space="preserve"> (2020 – 4), inicijuotos ir organizuotos  49</w:t>
                  </w:r>
                  <w:r w:rsidRPr="00B468E2">
                    <w:t xml:space="preserve"> kūrybinių darbų (</w:t>
                  </w:r>
                  <w:r>
                    <w:t>2020 m. – 20</w:t>
                  </w:r>
                  <w:r w:rsidRPr="00B468E2">
                    <w:t>)</w:t>
                  </w:r>
                  <w:r>
                    <w:t xml:space="preserve"> bei 15</w:t>
                  </w:r>
                  <w:r w:rsidRPr="00B468E2">
                    <w:t xml:space="preserve"> fotografijų (</w:t>
                  </w:r>
                  <w:r>
                    <w:t>2020 m. – 9</w:t>
                  </w:r>
                  <w:r w:rsidRPr="00B468E2">
                    <w:t>)</w:t>
                  </w:r>
                  <w:r>
                    <w:t xml:space="preserve"> parodos</w:t>
                  </w:r>
                  <w:r w:rsidRPr="00B468E2">
                    <w:t xml:space="preserve"> šalies, miesto ir Įstaigos mastu</w:t>
                  </w:r>
                  <w:r>
                    <w:t>, dalyvauta</w:t>
                  </w:r>
                  <w:r w:rsidRPr="00B468E2">
                    <w:t xml:space="preserve"> 9 tarptautiniuose, respublikiniuose ir miesto konkursuose (</w:t>
                  </w:r>
                  <w:r>
                    <w:t>2020 m. – 9</w:t>
                  </w:r>
                  <w:r w:rsidRPr="00B468E2">
                    <w:t>), 23 respublikinėse ir Įstaigos akcijose (</w:t>
                  </w:r>
                  <w:r>
                    <w:t>2020 m. – 23), 6</w:t>
                  </w:r>
                  <w:r w:rsidRPr="00B468E2">
                    <w:t xml:space="preserve"> tarptautinėse, šalies ir miesto iniciatyvose, </w:t>
                  </w:r>
                  <w:r>
                    <w:t>3 pleneruose</w:t>
                  </w:r>
                  <w:r w:rsidRPr="00B468E2">
                    <w:t xml:space="preserve"> (</w:t>
                  </w:r>
                  <w:r>
                    <w:t>2020 m. – 1</w:t>
                  </w:r>
                  <w:r w:rsidRPr="00B468E2">
                    <w:t>)</w:t>
                  </w:r>
                  <w:r>
                    <w:t xml:space="preserve">. </w:t>
                  </w:r>
                  <w:r w:rsidRPr="00B468E2">
                    <w:t xml:space="preserve">Ugdymo(si) turinys </w:t>
                  </w:r>
                  <w:r>
                    <w:t>plėtotas,</w:t>
                  </w:r>
                  <w:r w:rsidRPr="00B468E2">
                    <w:t xml:space="preserve"> organizuojant</w:t>
                  </w:r>
                  <w:r>
                    <w:t xml:space="preserve"> 91 įvairių formų šventę</w:t>
                  </w:r>
                  <w:r w:rsidRPr="00B468E2">
                    <w:t xml:space="preserve"> (</w:t>
                  </w:r>
                  <w:r>
                    <w:t>2020 m. – 22</w:t>
                  </w:r>
                  <w:r w:rsidRPr="00B468E2">
                    <w:t>)</w:t>
                  </w:r>
                  <w:r>
                    <w:t>, 11 įvairių renginių</w:t>
                  </w:r>
                  <w:r w:rsidRPr="00B468E2">
                    <w:t xml:space="preserve"> su šeima (</w:t>
                  </w:r>
                  <w:r>
                    <w:t>2020 m. – 6</w:t>
                  </w:r>
                  <w:r w:rsidRPr="00B468E2">
                    <w:t xml:space="preserve">), </w:t>
                  </w:r>
                  <w:r>
                    <w:t>47</w:t>
                  </w:r>
                  <w:r w:rsidRPr="00B468E2">
                    <w:t xml:space="preserve"> edukacinius renginius (</w:t>
                  </w:r>
                  <w:r>
                    <w:t>2020 m. – 29</w:t>
                  </w:r>
                  <w:r w:rsidRPr="00B468E2">
                    <w:t xml:space="preserve">) Įstaigoje ir mieste. </w:t>
                  </w:r>
                  <w:r>
                    <w:t xml:space="preserve">Pedagogų lyderystė, glaudus bendradarbiavimas su socialiniais partneriais ir </w:t>
                  </w:r>
                  <w:r w:rsidRPr="00BB266A">
                    <w:t>šeimomis užtikrino ugdymo(si) proceso organizavimo, ugdymo turinio plėtros ir vaikų pasiekimų lygio kilimą.</w:t>
                  </w:r>
                </w:p>
                <w:p w:rsidR="00A0069E" w:rsidRDefault="00A0069E" w:rsidP="00A0069E">
                  <w:pPr>
                    <w:ind w:firstLine="851"/>
                    <w:jc w:val="both"/>
                  </w:pPr>
                  <w:r>
                    <w:t xml:space="preserve">Nuosekliai kuriama įrodymais grindžiama Įstaigos veiklos politika – ugdymo proceso kokybės gerinimo pagrindas. Siekiant kurti kokybės siekio kultūrą, 2021 m. Įstaigoje atliktas visuminis įsivertinimas, išbandant Ikimokyklinio ir (ar) priešmokyklinio ugdymo programas vykdančių mokyklų įsivertinimo metodiką (projektas). Pedagogų (dalyvavo 100 proc.) apklausos metu nustatyta, kad aukščiausiu 3 lygiu, kai stebima išskirtinė praktika, įvertintos vaiko gerovės, ugdymosi, ugdymo strategijų, bendradarbiavimo su vaikų šeimomis sritys. 2 lygiu, kai stebima </w:t>
                  </w:r>
                  <w:r>
                    <w:lastRenderedPageBreak/>
                    <w:t>veiksminga praktika ir kokybė vertinama gerai, pedagogai įvertino ugdymo(si) aplinkų, pasiekimų vertinimo ir ugdymo planavimo, besimokančios organizacijos kultūros sritis. Tėvai (apklausoje dalyvavo 40 proc. tėvų) 3 lygiu įvertino ugdymo(si) aplinkų sritį, 2 lygiu įvertino vaiko gerovę, bendradrabiavią su vaikų šeimomis, besimokančios organizacijos kultūrą. Gauti rezultatai panaudoti planuojant Įstaigos veiklos pokyčius ir numatant siektinus rezultatus.</w:t>
                  </w:r>
                </w:p>
                <w:p w:rsidR="00A0069E" w:rsidRPr="00CC69EB" w:rsidRDefault="00A0069E" w:rsidP="00A0069E">
                  <w:pPr>
                    <w:ind w:firstLine="851"/>
                    <w:jc w:val="both"/>
                  </w:pPr>
                  <w:r>
                    <w:t>Veiklos plane aktualizuoto tikslo – plėtoti ir gilinti pedagogų kompetencijas – siekta įgyvendinant tris uždavinius: 1) t</w:t>
                  </w:r>
                  <w:r w:rsidRPr="005E327F">
                    <w:t>obulinti pedagogų veiklos vertinimo ir įsivertinimo kompetenciją siekiant gerinti ugdymo(si) veiklos kokybę</w:t>
                  </w:r>
                  <w:r>
                    <w:t>; 2) t</w:t>
                  </w:r>
                  <w:r w:rsidRPr="005E327F">
                    <w:t>aikyti inovatyvų ir kūrybišką skaitmeninių technologijų naudojimą ugdymo(si) procese;</w:t>
                  </w:r>
                  <w:r>
                    <w:t xml:space="preserve"> 3) p</w:t>
                  </w:r>
                  <w:r w:rsidRPr="005E327F">
                    <w:t>lėtoti įvairią metodinę veiklą</w:t>
                  </w:r>
                  <w:r>
                    <w:t xml:space="preserve">. Mokytojų bendruomenėje susitarta dėl ugdomosios veiklos kokybės požymių, įgyvendinta 2021 m. pedagogų kvalifikacijos tobulinimo programa, </w:t>
                  </w:r>
                  <w:r w:rsidRPr="00F85760">
                    <w:t>89 proc.</w:t>
                  </w:r>
                  <w:r w:rsidRPr="00BB266A">
                    <w:rPr>
                      <w:color w:val="FF0000"/>
                    </w:rPr>
                    <w:t xml:space="preserve"> </w:t>
                  </w:r>
                  <w:r>
                    <w:t xml:space="preserve">įvykdyta 2021 m. kolegialaus bendradarbiavimo programa, 100 proc. (23) pedagogų vykdė savo veiklos savianalizę. Lyginant 2018–2021 m. </w:t>
                  </w:r>
                  <w:r w:rsidRPr="0063032B">
                    <w:t xml:space="preserve">duomenis, stebimas reikšmingai išaugęs darbuotojų aktyvumas tobulinant bendrąsias ir profesines kompetencijas. </w:t>
                  </w:r>
                  <w:r>
                    <w:t>2021 m. pedagoginiai darbuotojai vidutiniškai kvalifikaciją tobulino 20 dienų (</w:t>
                  </w:r>
                  <w:r w:rsidRPr="0063032B">
                    <w:t xml:space="preserve">2018 m. </w:t>
                  </w:r>
                  <w:r>
                    <w:t xml:space="preserve">– </w:t>
                  </w:r>
                  <w:r w:rsidRPr="0063032B">
                    <w:t>6 dienas, 2019 m.</w:t>
                  </w:r>
                  <w:r>
                    <w:t xml:space="preserve"> </w:t>
                  </w:r>
                  <w:r w:rsidRPr="0063032B">
                    <w:t>–</w:t>
                  </w:r>
                  <w:r>
                    <w:t xml:space="preserve"> </w:t>
                  </w:r>
                  <w:r w:rsidRPr="0063032B">
                    <w:t>7 dienas, 2020 m.</w:t>
                  </w:r>
                  <w:r>
                    <w:t xml:space="preserve"> </w:t>
                  </w:r>
                  <w:r w:rsidRPr="0063032B">
                    <w:t>–</w:t>
                  </w:r>
                  <w:r>
                    <w:t xml:space="preserve"> </w:t>
                  </w:r>
                  <w:r w:rsidRPr="0063032B">
                    <w:t>14 dienų</w:t>
                  </w:r>
                  <w:r>
                    <w:t>)</w:t>
                  </w:r>
                  <w:r w:rsidRPr="0063032B">
                    <w:t>.</w:t>
                  </w:r>
                  <w:r>
                    <w:t xml:space="preserve"> Neskyrus Savivaldybės biudžeto lėšų 2021 m., nebuvo tenkintas nepedagoginių darbuotojų kvalifikacijos tobulinimo poreikis</w:t>
                  </w:r>
                  <w:r w:rsidRPr="0063032B">
                    <w:t xml:space="preserve"> </w:t>
                  </w:r>
                  <w:r>
                    <w:t>(</w:t>
                  </w:r>
                  <w:r w:rsidRPr="0063032B">
                    <w:t xml:space="preserve">2018 m. kvalifikaciją </w:t>
                  </w:r>
                  <w:r>
                    <w:t>tobulino</w:t>
                  </w:r>
                  <w:r w:rsidRPr="0063032B">
                    <w:t xml:space="preserve"> 5 nepedagoginiai darbuotojai, 2019 m.</w:t>
                  </w:r>
                  <w:r>
                    <w:t xml:space="preserve"> </w:t>
                  </w:r>
                  <w:r w:rsidRPr="0063032B">
                    <w:t>–</w:t>
                  </w:r>
                  <w:r>
                    <w:t xml:space="preserve"> </w:t>
                  </w:r>
                  <w:r w:rsidRPr="0063032B">
                    <w:t>6, 2020 m.</w:t>
                  </w:r>
                  <w:r>
                    <w:t xml:space="preserve"> </w:t>
                  </w:r>
                  <w:r w:rsidRPr="0063032B">
                    <w:t>–</w:t>
                  </w:r>
                  <w:r>
                    <w:t xml:space="preserve"> 10). Didelis proveržis pedagogų kvalifikacijos tobulinimo srityje sudarė sąlygas </w:t>
                  </w:r>
                  <w:r w:rsidRPr="007D72A2">
                    <w:t xml:space="preserve">nuolatiniam profesiniam tobulėjimui, profesinės meistrystės augimui ir ugdymo kokybės gerinimui. </w:t>
                  </w:r>
                  <w:r>
                    <w:t xml:space="preserve">Aktyviai dalyvauta miesto ikimokyklinių įstaigų 6 metodinių būrelių veikloje, kitoje įvairioje metodinėje veikloje šalyje. Sėkminga praktika ir kylantys sunkumai aptarti 20 miesto metodiniuose susirinkimuose. Aktyviai vykdyta gerosios patirties sklaida Įstaigoje, mieste ir šalyje </w:t>
                  </w:r>
                  <w:r w:rsidRPr="008141DF">
                    <w:t xml:space="preserve">(25 renginiai). </w:t>
                  </w:r>
                  <w:r w:rsidRPr="0063032B">
                    <w:t xml:space="preserve">Geroji Įstaigos </w:t>
                  </w:r>
                  <w:r>
                    <w:t>patirtis pristatyta tinklapyje</w:t>
                  </w:r>
                  <w:r w:rsidRPr="0063032B">
                    <w:t xml:space="preserve"> </w:t>
                  </w:r>
                  <w:hyperlink r:id="rId7" w:history="1">
                    <w:r w:rsidRPr="003964FC">
                      <w:rPr>
                        <w:rStyle w:val="Hipersaitas"/>
                      </w:rPr>
                      <w:t>www.svietimonaujienos.lt</w:t>
                    </w:r>
                  </w:hyperlink>
                  <w:r>
                    <w:t xml:space="preserve"> („STEAM ir žiemos pramogos kieme“, „Penktą kartą įvyko respublikinis projektas „Kamuolio diena“, „Mokomės kitaip. Inžinerija kaip ugdymo strategija priešmokykliniame amžiuje“, „Išleistuvės darželyje. Švenčiame taip, kad būtų įdomu vaikams…“), dienraštyje „Vakarų ekspresas“ („Patyriminė veikla ir žiemos pramogos Klaipėdos lopšelyje-darželyje „Dobiliukas“). 2021 m. Įstaigoje atestuoti 2 pedagogai, kurie įgijo vyresniojo</w:t>
                  </w:r>
                  <w:r w:rsidRPr="0063032B">
                    <w:t xml:space="preserve"> mokytojo </w:t>
                  </w:r>
                  <w:r>
                    <w:t>(1</w:t>
                  </w:r>
                  <w:r w:rsidRPr="0063032B">
                    <w:t xml:space="preserve">), mokytojo metodininko (1) kvalifikacines kategorijas. </w:t>
                  </w:r>
                  <w:r>
                    <w:t xml:space="preserve">Vykdyta mentorystės veikla 4 naujai pradėjusiems dirbti mokytojams. </w:t>
                  </w:r>
                  <w:r w:rsidRPr="007D72A2">
                    <w:t>Vadovauta studentų praktikai</w:t>
                  </w:r>
                  <w:r>
                    <w:t>. Sparčiai augantis pedagogų kompetencijų plėtotės ir gilinimo mastas rodo, kad pavyko pasiekti ne tik Strateginiame ir Veiklos planuose, bet ir Valstybinėje švietimo 2013-2022 m. strategijoje numatytų</w:t>
                  </w:r>
                  <w:r w:rsidRPr="00336CCC">
                    <w:t xml:space="preserve"> </w:t>
                  </w:r>
                  <w:r>
                    <w:t xml:space="preserve">pokyčio </w:t>
                  </w:r>
                  <w:r w:rsidRPr="00336CCC">
                    <w:t>siekinių.</w:t>
                  </w:r>
                </w:p>
                <w:p w:rsidR="00A0069E" w:rsidRPr="0029145D" w:rsidRDefault="00A0069E" w:rsidP="00A0069E">
                  <w:pPr>
                    <w:pStyle w:val="Sraopastraipa"/>
                    <w:numPr>
                      <w:ilvl w:val="0"/>
                      <w:numId w:val="1"/>
                    </w:numPr>
                    <w:ind w:left="0" w:firstLine="851"/>
                    <w:jc w:val="both"/>
                    <w:rPr>
                      <w:szCs w:val="24"/>
                    </w:rPr>
                  </w:pPr>
                  <w:r>
                    <w:rPr>
                      <w:szCs w:val="24"/>
                    </w:rPr>
                    <w:t xml:space="preserve">įgyvendinant antrąjį Strateginio  plano uždavinį – teikti papildomas paslaugas – </w:t>
                  </w:r>
                  <w:r w:rsidRPr="0029145D">
                    <w:rPr>
                      <w:szCs w:val="24"/>
                    </w:rPr>
                    <w:t>orientuotasi į vaikų sveikos mitybos įgūdžius ugdantį maitinimo organizavimą ir tinkamos švietimo pagalbos vaikui teikimą. 100 proc. Įstaigą lankantiems vaikams užtikrinta palanki mityba 3 kartus per dieną</w:t>
                  </w:r>
                  <w:r>
                    <w:rPr>
                      <w:szCs w:val="24"/>
                    </w:rPr>
                    <w:t>,</w:t>
                  </w:r>
                  <w:r w:rsidRPr="0029145D">
                    <w:rPr>
                      <w:szCs w:val="24"/>
                    </w:rPr>
                    <w:t xml:space="preserve"> teikiant šviežią, vietoje pagamintą maistą pagal sveikatai palankų valgiaraštį ir vykdant </w:t>
                  </w:r>
                  <w:r w:rsidRPr="0029145D">
                    <w:rPr>
                      <w:rFonts w:eastAsia="Calibri"/>
                    </w:rPr>
                    <w:t xml:space="preserve">Europos Sąjungos paramos pieno ir vaisių vartojimo skatinimo programas. </w:t>
                  </w:r>
                  <w:r w:rsidRPr="0029145D">
                    <w:rPr>
                      <w:szCs w:val="24"/>
                    </w:rPr>
                    <w:t>Maisto sauga ir kokybė užtikrinta maisto gamybą</w:t>
                  </w:r>
                  <w:r>
                    <w:rPr>
                      <w:szCs w:val="24"/>
                    </w:rPr>
                    <w:t>,</w:t>
                  </w:r>
                  <w:r w:rsidRPr="0029145D">
                    <w:rPr>
                      <w:szCs w:val="24"/>
                    </w:rPr>
                    <w:t xml:space="preserve"> vykdant Geros higienos praktikos, Lietuvos higienos normų reikalavimus atninkančioje virtuvėje.</w:t>
                  </w:r>
                  <w:r w:rsidRPr="0029145D">
                    <w:rPr>
                      <w:rFonts w:eastAsia="Calibri"/>
                    </w:rPr>
                    <w:t xml:space="preserve"> 4 vaikams, tenkinant tam tikrų sveikatos sutrikimų nulemtus poreikius, organizuotas pritaikytas maitinimas. </w:t>
                  </w:r>
                  <w:r>
                    <w:t>23</w:t>
                  </w:r>
                  <w:r w:rsidRPr="00655D50">
                    <w:t xml:space="preserve"> </w:t>
                  </w:r>
                  <w:r>
                    <w:t>vaikams</w:t>
                  </w:r>
                  <w:r w:rsidRPr="00655D50">
                    <w:t xml:space="preserve"> taikyta 50 proc. mokesčio už vaikų maitinimą lengvata</w:t>
                  </w:r>
                  <w:r>
                    <w:t xml:space="preserve"> (2020 m. – 28)</w:t>
                  </w:r>
                  <w:r w:rsidRPr="00655D50">
                    <w:t xml:space="preserve">, </w:t>
                  </w:r>
                  <w:r>
                    <w:t xml:space="preserve">3 </w:t>
                  </w:r>
                  <w:r w:rsidRPr="00655D50">
                    <w:t>– 100 proc.</w:t>
                  </w:r>
                  <w:r>
                    <w:t xml:space="preserve"> (2020 m. – 3). Švietime, įtvirtinant įtraukties principą ir</w:t>
                  </w:r>
                  <w:r w:rsidRPr="0029145D">
                    <w:rPr>
                      <w:rFonts w:eastAsia="Calibri"/>
                    </w:rPr>
                    <w:t xml:space="preserve"> siekiant padidinti ugdymo veiksmingumą, t</w:t>
                  </w:r>
                  <w:r>
                    <w:t>ęsta pagalbos</w:t>
                  </w:r>
                  <w:r w:rsidRPr="00655D50">
                    <w:t xml:space="preserve"> vaikui ir šeimai</w:t>
                  </w:r>
                  <w:r>
                    <w:t xml:space="preserve"> veikla. </w:t>
                  </w:r>
                  <w:r w:rsidRPr="00655D50">
                    <w:t>Logop</w:t>
                  </w:r>
                  <w:r>
                    <w:t xml:space="preserve">edo pagalba (1 etatas) teikta 46 </w:t>
                  </w:r>
                  <w:r w:rsidRPr="00655D50">
                    <w:t>vaikams</w:t>
                  </w:r>
                  <w:r>
                    <w:t xml:space="preserve"> (2020 m. – 45)</w:t>
                  </w:r>
                  <w:r w:rsidRPr="00655D50">
                    <w:t>.</w:t>
                  </w:r>
                  <w:r>
                    <w:t xml:space="preserve"> Glaudžiai bendradarbiaujant Įstaigos pedagogams ir šeimoms, parengta ir įgyvendinta 12 individualios pagalbos vaikui planų. Siekiant palankios ugdymo(si) aplinkos vaikams užtikrinimo, organizuota 10 Vaiko gerovės komisijos posėdžių. Atlikta švietimo pagalbos teikimo analizė parodė, kad būtina plėtoti koordinuotos švietimo pagalbos mechanizmus, Įstaigoje susitelkiant ties aktyviu reagavimu ir pagalbos suteikimu, stiprinti bendradarbiavimą tarpinstituciniu lygmeniu.</w:t>
                  </w:r>
                </w:p>
                <w:p w:rsidR="00A0069E" w:rsidRDefault="00A0069E" w:rsidP="00A0069E">
                  <w:pPr>
                    <w:ind w:firstLine="851"/>
                    <w:jc w:val="both"/>
                  </w:pPr>
                  <w:r>
                    <w:t xml:space="preserve">Siekiant Strateginio plano antrojo tikslo </w:t>
                  </w:r>
                  <w:r w:rsidRPr="00D248F2">
                    <w:t>–</w:t>
                  </w:r>
                  <w:r>
                    <w:t xml:space="preserve"> užtikrinti sveiką, saugią ir šiuolaikinius ugdymo(si) reikalavimus atliepiančią aplinką </w:t>
                  </w:r>
                  <w:r w:rsidRPr="00D248F2">
                    <w:t>–</w:t>
                  </w:r>
                  <w:r>
                    <w:t xml:space="preserve"> Įstaigos veikla buvo orientuojama į aplinkos renovavimą ir atitiktį higienos reikalavimams, edukacinių aplinkų kūrimą. </w:t>
                  </w:r>
                  <w:r w:rsidRPr="00D248F2">
                    <w:t>Tiksl</w:t>
                  </w:r>
                  <w:r>
                    <w:t>ui pasiekti</w:t>
                  </w:r>
                  <w:r w:rsidRPr="00D248F2">
                    <w:t xml:space="preserve"> </w:t>
                  </w:r>
                  <w:r>
                    <w:t>buvo įgyvendinami</w:t>
                  </w:r>
                  <w:r w:rsidRPr="00D248F2">
                    <w:t xml:space="preserve"> </w:t>
                  </w:r>
                  <w:r>
                    <w:t>du uždaviniai:</w:t>
                  </w:r>
                  <w:r w:rsidRPr="00D248F2">
                    <w:t xml:space="preserve"> </w:t>
                  </w:r>
                  <w:r>
                    <w:t xml:space="preserve">1) gerinti ugdymo sąlygas ir aplinką; 2) pritaikyti Įstaigos aplinkas </w:t>
                  </w:r>
                  <w:r>
                    <w:lastRenderedPageBreak/>
                    <w:t>švietimo reikmėms. Į</w:t>
                  </w:r>
                  <w:r w:rsidRPr="00A13BEE">
                    <w:t xml:space="preserve">gyvendinant Strateginio plano antrojo tikslo </w:t>
                  </w:r>
                  <w:r>
                    <w:t xml:space="preserve">uždavinius, </w:t>
                  </w:r>
                  <w:r w:rsidRPr="00A13BEE">
                    <w:t xml:space="preserve">bendradarbiauta su Įstaigos taryba ir kitomis savivaldos institucijomis dėl </w:t>
                  </w:r>
                  <w:r>
                    <w:t xml:space="preserve">efektyvaus turimų finansinių lėšų panaudojimo, kurta bendradarbiavimu grįsta kultūra. Racionaliai ir tikslingai panaudojus lėšas, įvykdytos numatytos priemonės: 1) renovavus 1 grupės ir 1 rūbinės </w:t>
                  </w:r>
                  <w:r w:rsidRPr="00442B21">
                    <w:t>patalpas</w:t>
                  </w:r>
                  <w:r>
                    <w:t xml:space="preserve"> (8000 Eur) ir įsigijus naujus baldus (2706 Eur) sukurta moderni ugdymo(si) erdvė; 2) neatlygintinai gautos ir įsigytos naujos priemonės STEAM, informatinio mąstymo, kūrybiškumo ir kitoms vaikų kompetencijoms ugdyti (3566 Eur) sudarė sąlygas inovatyviems ugdymo(si) sprendimams, 3) įsigytos apsaugos, higienos ir kitos priemonės ir </w:t>
                  </w:r>
                  <w:r w:rsidRPr="00A13BEE">
                    <w:t xml:space="preserve">atlikti </w:t>
                  </w:r>
                  <w:r>
                    <w:t xml:space="preserve">įvairūs </w:t>
                  </w:r>
                  <w:r w:rsidRPr="00A13BEE">
                    <w:t>darbai užtikrino Įstaigos sklandų funkcionavimą.</w:t>
                  </w:r>
                  <w:r>
                    <w:t xml:space="preserve"> </w:t>
                  </w:r>
                </w:p>
                <w:p w:rsidR="001136B9" w:rsidRDefault="001136B9" w:rsidP="00A0069E">
                  <w:pPr>
                    <w:ind w:firstLine="851"/>
                    <w:jc w:val="both"/>
                  </w:pPr>
                </w:p>
                <w:p w:rsidR="00A0069E" w:rsidRDefault="00A0069E" w:rsidP="00A0069E">
                  <w:pPr>
                    <w:ind w:firstLine="851"/>
                    <w:jc w:val="both"/>
                  </w:pPr>
                  <w:r w:rsidRPr="00002884">
                    <w:t>2021 m. Įstaigos finansinė situacija buvo tokia:</w:t>
                  </w:r>
                </w:p>
                <w:tbl>
                  <w:tblPr>
                    <w:tblStyle w:val="Lentelstinklelis"/>
                    <w:tblW w:w="13178" w:type="dxa"/>
                    <w:tblLayout w:type="fixed"/>
                    <w:tblLook w:val="04A0" w:firstRow="1" w:lastRow="0" w:firstColumn="1" w:lastColumn="0" w:noHBand="0" w:noVBand="1"/>
                  </w:tblPr>
                  <w:tblGrid>
                    <w:gridCol w:w="2389"/>
                    <w:gridCol w:w="1292"/>
                    <w:gridCol w:w="1276"/>
                    <w:gridCol w:w="1417"/>
                    <w:gridCol w:w="3119"/>
                    <w:gridCol w:w="236"/>
                    <w:gridCol w:w="3449"/>
                  </w:tblGrid>
                  <w:tr w:rsidR="00A0069E" w:rsidRPr="00D423AA" w:rsidTr="00C57AD1">
                    <w:trPr>
                      <w:gridAfter w:val="2"/>
                      <w:wAfter w:w="3685" w:type="dxa"/>
                    </w:trPr>
                    <w:tc>
                      <w:tcPr>
                        <w:tcW w:w="2389" w:type="dxa"/>
                        <w:vMerge w:val="restart"/>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jc w:val="center"/>
                        </w:pPr>
                        <w:r w:rsidRPr="00D423AA">
                          <w:t>Finansavimo šaltinis</w:t>
                        </w:r>
                      </w:p>
                    </w:tc>
                    <w:tc>
                      <w:tcPr>
                        <w:tcW w:w="3985" w:type="dxa"/>
                        <w:gridSpan w:val="3"/>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jc w:val="center"/>
                        </w:pPr>
                        <w:r w:rsidRPr="00D423AA">
                          <w:t>Lėšos (tūkst. eurų)</w:t>
                        </w:r>
                      </w:p>
                    </w:tc>
                    <w:tc>
                      <w:tcPr>
                        <w:tcW w:w="3119" w:type="dxa"/>
                        <w:vMerge w:val="restart"/>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ind w:right="207"/>
                          <w:jc w:val="both"/>
                        </w:pPr>
                        <w:r w:rsidRPr="00D423AA">
                          <w:t>Pastabos</w:t>
                        </w:r>
                      </w:p>
                      <w:p w:rsidR="00A0069E" w:rsidRPr="00D423AA" w:rsidRDefault="00A0069E" w:rsidP="00CD7139">
                        <w:pPr>
                          <w:framePr w:hSpace="180" w:wrap="around" w:vAnchor="text" w:hAnchor="margin" w:y="143"/>
                          <w:ind w:right="207"/>
                          <w:jc w:val="center"/>
                        </w:pPr>
                      </w:p>
                    </w:tc>
                  </w:tr>
                  <w:tr w:rsidR="00A0069E" w:rsidRPr="00D423AA" w:rsidTr="00C57AD1">
                    <w:trPr>
                      <w:gridAfter w:val="2"/>
                      <w:wAfter w:w="3685" w:type="dxa"/>
                    </w:trPr>
                    <w:tc>
                      <w:tcPr>
                        <w:tcW w:w="2389" w:type="dxa"/>
                        <w:vMerge/>
                        <w:tcBorders>
                          <w:top w:val="single" w:sz="4" w:space="0" w:color="auto"/>
                          <w:left w:val="single" w:sz="4" w:space="0" w:color="auto"/>
                          <w:bottom w:val="single" w:sz="4" w:space="0" w:color="auto"/>
                          <w:right w:val="single" w:sz="4" w:space="0" w:color="auto"/>
                        </w:tcBorders>
                        <w:vAlign w:val="center"/>
                        <w:hideMark/>
                      </w:tcPr>
                      <w:p w:rsidR="00A0069E" w:rsidRPr="00D423AA" w:rsidRDefault="00A0069E" w:rsidP="00CD7139">
                        <w:pPr>
                          <w:framePr w:hSpace="180" w:wrap="around" w:vAnchor="text" w:hAnchor="margin" w:y="143"/>
                        </w:pPr>
                      </w:p>
                    </w:tc>
                    <w:tc>
                      <w:tcPr>
                        <w:tcW w:w="1292"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rPr>
                            <w:sz w:val="22"/>
                            <w:szCs w:val="22"/>
                          </w:rPr>
                        </w:pPr>
                        <w:r w:rsidRPr="00130CE2">
                          <w:t>Planas</w:t>
                        </w:r>
                        <w:r w:rsidRPr="00D423AA">
                          <w:rPr>
                            <w:sz w:val="20"/>
                          </w:rPr>
                          <w:t xml:space="preserve"> (patikslintas)</w:t>
                        </w:r>
                      </w:p>
                    </w:tc>
                    <w:tc>
                      <w:tcPr>
                        <w:tcW w:w="1276"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Panaudota lėšų</w:t>
                        </w:r>
                      </w:p>
                    </w:tc>
                    <w:tc>
                      <w:tcPr>
                        <w:tcW w:w="1417"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Įvykdymas (%)</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A0069E" w:rsidRPr="00D423AA" w:rsidRDefault="00A0069E" w:rsidP="00CD7139">
                        <w:pPr>
                          <w:framePr w:hSpace="180" w:wrap="around" w:vAnchor="text" w:hAnchor="margin" w:y="143"/>
                          <w:ind w:right="207"/>
                        </w:pPr>
                      </w:p>
                    </w:tc>
                  </w:tr>
                  <w:tr w:rsidR="00A0069E" w:rsidRPr="00D423AA" w:rsidTr="00C57AD1">
                    <w:trPr>
                      <w:gridAfter w:val="2"/>
                      <w:wAfter w:w="3685" w:type="dxa"/>
                      <w:trHeight w:val="415"/>
                    </w:trPr>
                    <w:tc>
                      <w:tcPr>
                        <w:tcW w:w="2389"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Savivaldybės biudžetas (SB)</w:t>
                        </w:r>
                      </w:p>
                    </w:tc>
                    <w:tc>
                      <w:tcPr>
                        <w:tcW w:w="1292"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407,600</w:t>
                        </w:r>
                      </w:p>
                    </w:tc>
                    <w:tc>
                      <w:tcPr>
                        <w:tcW w:w="1276"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406,370</w:t>
                        </w:r>
                      </w:p>
                    </w:tc>
                    <w:tc>
                      <w:tcPr>
                        <w:tcW w:w="1417"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99,70</w:t>
                        </w:r>
                      </w:p>
                    </w:tc>
                    <w:tc>
                      <w:tcPr>
                        <w:tcW w:w="3119"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ind w:right="207"/>
                        </w:pPr>
                      </w:p>
                    </w:tc>
                  </w:tr>
                  <w:tr w:rsidR="00A0069E" w:rsidRPr="00D423AA" w:rsidTr="00C57AD1">
                    <w:trPr>
                      <w:gridAfter w:val="2"/>
                      <w:wAfter w:w="3685" w:type="dxa"/>
                    </w:trPr>
                    <w:tc>
                      <w:tcPr>
                        <w:tcW w:w="2389"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Specialioji tikslinė dotacija (VB)</w:t>
                        </w:r>
                      </w:p>
                    </w:tc>
                    <w:tc>
                      <w:tcPr>
                        <w:tcW w:w="1292"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273,000</w:t>
                        </w:r>
                      </w:p>
                    </w:tc>
                    <w:tc>
                      <w:tcPr>
                        <w:tcW w:w="1276"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272,933</w:t>
                        </w:r>
                      </w:p>
                    </w:tc>
                    <w:tc>
                      <w:tcPr>
                        <w:tcW w:w="1417"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99,98</w:t>
                        </w:r>
                      </w:p>
                    </w:tc>
                    <w:tc>
                      <w:tcPr>
                        <w:tcW w:w="3119"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ind w:right="207"/>
                        </w:pPr>
                      </w:p>
                    </w:tc>
                  </w:tr>
                  <w:tr w:rsidR="00A0069E" w:rsidRPr="00D423AA" w:rsidTr="00C57AD1">
                    <w:trPr>
                      <w:gridAfter w:val="2"/>
                      <w:wAfter w:w="3685" w:type="dxa"/>
                    </w:trPr>
                    <w:tc>
                      <w:tcPr>
                        <w:tcW w:w="2389"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Įstaigos gautos pajamos (surinkta pajamų SP), iš jų:</w:t>
                        </w:r>
                      </w:p>
                    </w:tc>
                    <w:tc>
                      <w:tcPr>
                        <w:tcW w:w="1292"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88,900</w:t>
                        </w:r>
                      </w:p>
                    </w:tc>
                    <w:tc>
                      <w:tcPr>
                        <w:tcW w:w="1276"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74,109</w:t>
                        </w:r>
                      </w:p>
                    </w:tc>
                    <w:tc>
                      <w:tcPr>
                        <w:tcW w:w="1417"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83,36</w:t>
                        </w:r>
                      </w:p>
                    </w:tc>
                    <w:tc>
                      <w:tcPr>
                        <w:tcW w:w="3119" w:type="dxa"/>
                        <w:tcBorders>
                          <w:top w:val="single" w:sz="4" w:space="0" w:color="auto"/>
                          <w:left w:val="single" w:sz="4" w:space="0" w:color="auto"/>
                          <w:bottom w:val="single" w:sz="4" w:space="0" w:color="auto"/>
                          <w:right w:val="single" w:sz="4" w:space="0" w:color="auto"/>
                        </w:tcBorders>
                      </w:tcPr>
                      <w:p w:rsidR="00A0069E" w:rsidRPr="003E7A15" w:rsidRDefault="00A0069E" w:rsidP="00CD7139">
                        <w:pPr>
                          <w:framePr w:hSpace="180" w:wrap="around" w:vAnchor="text" w:hAnchor="margin" w:y="143"/>
                          <w:jc w:val="both"/>
                        </w:pPr>
                        <w:r w:rsidRPr="003E7A15">
                          <w:t>Pajamų planas neįvykdytas dėl ekstremalios situacijos padarinių (</w:t>
                        </w:r>
                        <w:r>
                          <w:t xml:space="preserve">pablogėjęs </w:t>
                        </w:r>
                        <w:r w:rsidRPr="003E7A15">
                          <w:t>vaikų lankomumas, neteikta Įstaigos patalpų suteikimo paslauga)</w:t>
                        </w:r>
                      </w:p>
                    </w:tc>
                  </w:tr>
                  <w:tr w:rsidR="00A0069E" w:rsidRPr="00D423AA" w:rsidTr="00C57AD1">
                    <w:trPr>
                      <w:gridAfter w:val="2"/>
                      <w:wAfter w:w="3685" w:type="dxa"/>
                      <w:trHeight w:val="395"/>
                    </w:trPr>
                    <w:tc>
                      <w:tcPr>
                        <w:tcW w:w="2389"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Pajamų išlaidos (SP)</w:t>
                        </w:r>
                      </w:p>
                    </w:tc>
                    <w:tc>
                      <w:tcPr>
                        <w:tcW w:w="1292"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88,900</w:t>
                        </w:r>
                      </w:p>
                    </w:tc>
                    <w:tc>
                      <w:tcPr>
                        <w:tcW w:w="1276"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67,419</w:t>
                        </w:r>
                      </w:p>
                    </w:tc>
                    <w:tc>
                      <w:tcPr>
                        <w:tcW w:w="1417"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75,84</w:t>
                        </w:r>
                      </w:p>
                    </w:tc>
                    <w:tc>
                      <w:tcPr>
                        <w:tcW w:w="3119" w:type="dxa"/>
                        <w:tcBorders>
                          <w:top w:val="single" w:sz="4" w:space="0" w:color="auto"/>
                          <w:left w:val="single" w:sz="4" w:space="0" w:color="auto"/>
                          <w:bottom w:val="single" w:sz="4" w:space="0" w:color="auto"/>
                          <w:right w:val="single" w:sz="4" w:space="0" w:color="auto"/>
                        </w:tcBorders>
                      </w:tcPr>
                      <w:p w:rsidR="00A0069E" w:rsidRPr="003E7A15" w:rsidRDefault="00A0069E" w:rsidP="00CD7139">
                        <w:pPr>
                          <w:framePr w:hSpace="180" w:wrap="around" w:vAnchor="text" w:hAnchor="margin" w:y="143"/>
                          <w:jc w:val="both"/>
                        </w:pPr>
                        <w:r w:rsidRPr="003E7A15">
                          <w:t>Nepanaudota dalis SP pajamų dėl vėlai gautų tėvų įmokų</w:t>
                        </w:r>
                      </w:p>
                    </w:tc>
                  </w:tr>
                  <w:tr w:rsidR="00A0069E" w:rsidRPr="00D423AA" w:rsidTr="00C57AD1">
                    <w:trPr>
                      <w:gridAfter w:val="2"/>
                      <w:wAfter w:w="3685" w:type="dxa"/>
                      <w:trHeight w:val="125"/>
                    </w:trPr>
                    <w:tc>
                      <w:tcPr>
                        <w:tcW w:w="2389"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Projektų finansavimas (ES; VB;SB)</w:t>
                        </w:r>
                      </w:p>
                    </w:tc>
                    <w:tc>
                      <w:tcPr>
                        <w:tcW w:w="1292"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p>
                    </w:tc>
                    <w:tc>
                      <w:tcPr>
                        <w:tcW w:w="1276"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p>
                    </w:tc>
                    <w:tc>
                      <w:tcPr>
                        <w:tcW w:w="1417"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p>
                    </w:tc>
                    <w:tc>
                      <w:tcPr>
                        <w:tcW w:w="3119" w:type="dxa"/>
                        <w:tcBorders>
                          <w:top w:val="single" w:sz="4" w:space="0" w:color="auto"/>
                          <w:left w:val="single" w:sz="4" w:space="0" w:color="auto"/>
                          <w:bottom w:val="single" w:sz="4" w:space="0" w:color="auto"/>
                          <w:right w:val="single" w:sz="4" w:space="0" w:color="auto"/>
                        </w:tcBorders>
                      </w:tcPr>
                      <w:p w:rsidR="00A0069E" w:rsidRPr="003E7A15" w:rsidRDefault="00A0069E" w:rsidP="00CD7139">
                        <w:pPr>
                          <w:framePr w:hSpace="180" w:wrap="around" w:vAnchor="text" w:hAnchor="margin" w:y="143"/>
                          <w:ind w:right="207"/>
                          <w:jc w:val="both"/>
                        </w:pPr>
                      </w:p>
                    </w:tc>
                  </w:tr>
                  <w:tr w:rsidR="00A0069E" w:rsidRPr="00D423AA" w:rsidTr="00C57AD1">
                    <w:trPr>
                      <w:gridAfter w:val="2"/>
                      <w:wAfter w:w="3685" w:type="dxa"/>
                    </w:trPr>
                    <w:tc>
                      <w:tcPr>
                        <w:tcW w:w="2389" w:type="dxa"/>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 xml:space="preserve">Kitos lėšos (parama </w:t>
                        </w:r>
                        <w:r>
                          <w:t>1,</w:t>
                        </w:r>
                        <w:r w:rsidRPr="00D423AA">
                          <w:t>2 % G</w:t>
                        </w:r>
                        <w:r>
                          <w:t>P</w:t>
                        </w:r>
                        <w:r w:rsidRPr="00D423AA">
                          <w:t>M ir kt.)</w:t>
                        </w:r>
                      </w:p>
                    </w:tc>
                    <w:tc>
                      <w:tcPr>
                        <w:tcW w:w="1292"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1,500</w:t>
                        </w:r>
                      </w:p>
                    </w:tc>
                    <w:tc>
                      <w:tcPr>
                        <w:tcW w:w="1276"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0,01</w:t>
                        </w:r>
                      </w:p>
                    </w:tc>
                    <w:tc>
                      <w:tcPr>
                        <w:tcW w:w="1417"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0,67</w:t>
                        </w:r>
                      </w:p>
                    </w:tc>
                    <w:tc>
                      <w:tcPr>
                        <w:tcW w:w="3119" w:type="dxa"/>
                        <w:tcBorders>
                          <w:top w:val="single" w:sz="4" w:space="0" w:color="auto"/>
                          <w:left w:val="single" w:sz="4" w:space="0" w:color="auto"/>
                          <w:bottom w:val="single" w:sz="4" w:space="0" w:color="auto"/>
                          <w:right w:val="single" w:sz="4" w:space="0" w:color="auto"/>
                        </w:tcBorders>
                      </w:tcPr>
                      <w:p w:rsidR="00A0069E" w:rsidRPr="003E7A15" w:rsidRDefault="00A0069E" w:rsidP="00CD7139">
                        <w:pPr>
                          <w:framePr w:hSpace="180" w:wrap="around" w:vAnchor="text" w:hAnchor="margin" w:y="143"/>
                          <w:jc w:val="both"/>
                        </w:pPr>
                        <w:r w:rsidRPr="003E7A15">
                          <w:t>Įstaigos lėšas nuspręsta panaudoti minint Įstaigos 40-mečio jubiliejų</w:t>
                        </w:r>
                        <w:r>
                          <w:t xml:space="preserve"> ir kitoms reikmėms 2022 m.</w:t>
                        </w:r>
                      </w:p>
                    </w:tc>
                  </w:tr>
                  <w:tr w:rsidR="00A0069E" w:rsidRPr="00D423AA" w:rsidTr="00C57AD1">
                    <w:trPr>
                      <w:trHeight w:val="607"/>
                    </w:trPr>
                    <w:tc>
                      <w:tcPr>
                        <w:tcW w:w="4957" w:type="dxa"/>
                        <w:gridSpan w:val="3"/>
                        <w:tcBorders>
                          <w:top w:val="single" w:sz="4" w:space="0" w:color="auto"/>
                          <w:left w:val="single" w:sz="4" w:space="0" w:color="auto"/>
                          <w:bottom w:val="single" w:sz="4" w:space="0" w:color="auto"/>
                          <w:right w:val="single" w:sz="4" w:space="0" w:color="auto"/>
                        </w:tcBorders>
                        <w:hideMark/>
                      </w:tcPr>
                      <w:p w:rsidR="00A0069E" w:rsidRPr="00D423AA" w:rsidRDefault="00A0069E" w:rsidP="00CD7139">
                        <w:pPr>
                          <w:framePr w:hSpace="180" w:wrap="around" w:vAnchor="text" w:hAnchor="margin" w:y="143"/>
                        </w:pPr>
                        <w:r w:rsidRPr="00D423AA">
                          <w:t>Kreditinis įsiskolinimas (pagal v</w:t>
                        </w:r>
                        <w:r>
                          <w:t>isus finansavimo šaltinius) 2022</w:t>
                        </w:r>
                        <w:r w:rsidRPr="00D423AA">
                          <w:t xml:space="preserve"> m. sausio 1 d. </w:t>
                        </w:r>
                      </w:p>
                    </w:tc>
                    <w:tc>
                      <w:tcPr>
                        <w:tcW w:w="1417" w:type="dxa"/>
                        <w:tcBorders>
                          <w:top w:val="single" w:sz="4" w:space="0" w:color="auto"/>
                          <w:left w:val="single" w:sz="4" w:space="0" w:color="auto"/>
                          <w:bottom w:val="single" w:sz="4" w:space="0" w:color="auto"/>
                          <w:right w:val="single" w:sz="4" w:space="0" w:color="auto"/>
                        </w:tcBorders>
                      </w:tcPr>
                      <w:p w:rsidR="00A0069E" w:rsidRPr="00D423AA" w:rsidRDefault="00A0069E" w:rsidP="00CD7139">
                        <w:pPr>
                          <w:framePr w:hSpace="180" w:wrap="around" w:vAnchor="text" w:hAnchor="margin" w:y="143"/>
                        </w:pPr>
                        <w:r>
                          <w:t>0,14</w:t>
                        </w:r>
                      </w:p>
                    </w:tc>
                    <w:tc>
                      <w:tcPr>
                        <w:tcW w:w="3119" w:type="dxa"/>
                        <w:tcBorders>
                          <w:top w:val="single" w:sz="4" w:space="0" w:color="auto"/>
                          <w:left w:val="single" w:sz="4" w:space="0" w:color="auto"/>
                          <w:bottom w:val="single" w:sz="4" w:space="0" w:color="auto"/>
                          <w:right w:val="single" w:sz="4" w:space="0" w:color="auto"/>
                        </w:tcBorders>
                      </w:tcPr>
                      <w:p w:rsidR="00A0069E" w:rsidRPr="003E7A15" w:rsidRDefault="00A0069E" w:rsidP="00CD7139">
                        <w:pPr>
                          <w:framePr w:hSpace="180" w:wrap="around" w:vAnchor="text" w:hAnchor="margin" w:y="143"/>
                          <w:jc w:val="both"/>
                        </w:pPr>
                        <w:r w:rsidRPr="003E7A15">
                          <w:t xml:space="preserve">Liko natūralūs įsiskolinimai dėl sąskaitų išrašymo paskutinėmis gruodžio mėn. (maisto produktai) ir </w:t>
                        </w:r>
                        <w:r>
                          <w:t xml:space="preserve">pirmomis </w:t>
                        </w:r>
                        <w:r w:rsidRPr="003E7A15">
                          <w:t xml:space="preserve">sausio mėn. (ryšiai ir kt.) dienomis </w:t>
                        </w:r>
                      </w:p>
                    </w:tc>
                    <w:tc>
                      <w:tcPr>
                        <w:tcW w:w="236" w:type="dxa"/>
                      </w:tcPr>
                      <w:p w:rsidR="00A0069E" w:rsidRPr="00D423AA" w:rsidRDefault="00A0069E" w:rsidP="00CD7139">
                        <w:pPr>
                          <w:framePr w:hSpace="180" w:wrap="around" w:vAnchor="text" w:hAnchor="margin" w:y="143"/>
                          <w:spacing w:after="200" w:line="276" w:lineRule="auto"/>
                        </w:pPr>
                      </w:p>
                    </w:tc>
                    <w:tc>
                      <w:tcPr>
                        <w:tcW w:w="3449" w:type="dxa"/>
                      </w:tcPr>
                      <w:p w:rsidR="00A0069E" w:rsidRPr="00D423AA" w:rsidRDefault="00A0069E" w:rsidP="00CD7139">
                        <w:pPr>
                          <w:framePr w:hSpace="180" w:wrap="around" w:vAnchor="text" w:hAnchor="margin" w:y="143"/>
                        </w:pPr>
                        <w:r>
                          <w:t>Liko natūralūs įsiskolinimai (elektros energija, ryšiai)</w:t>
                        </w:r>
                      </w:p>
                    </w:tc>
                  </w:tr>
                </w:tbl>
                <w:p w:rsidR="00A0069E" w:rsidRDefault="00A0069E" w:rsidP="00A0069E">
                  <w:pPr>
                    <w:tabs>
                      <w:tab w:val="left" w:pos="887"/>
                    </w:tabs>
                    <w:jc w:val="both"/>
                  </w:pPr>
                </w:p>
                <w:p w:rsidR="001C7EAD" w:rsidRDefault="001C7EAD" w:rsidP="001C7EAD">
                  <w:pPr>
                    <w:ind w:right="-22" w:firstLine="851"/>
                    <w:jc w:val="both"/>
                  </w:pPr>
                  <w:r>
                    <w:t>Įstaigoje 2021 m. buvo atlikti patikrinimai:</w:t>
                  </w:r>
                </w:p>
                <w:p w:rsidR="001C7EAD" w:rsidRDefault="001C7EAD" w:rsidP="001C7EAD">
                  <w:pPr>
                    <w:ind w:right="-22" w:firstLine="851"/>
                    <w:jc w:val="both"/>
                    <w:rPr>
                      <w:rFonts w:eastAsiaTheme="minorHAnsi"/>
                    </w:rPr>
                  </w:pPr>
                  <w:r w:rsidRPr="00C96E95">
                    <w:rPr>
                      <w:rFonts w:eastAsiaTheme="minorHAnsi"/>
                    </w:rPr>
                    <w:t>Valstybinė</w:t>
                  </w:r>
                  <w:r>
                    <w:rPr>
                      <w:rFonts w:eastAsiaTheme="minorHAnsi"/>
                    </w:rPr>
                    <w:t>s</w:t>
                  </w:r>
                  <w:r w:rsidRPr="00C96E95">
                    <w:rPr>
                      <w:rFonts w:eastAsiaTheme="minorHAnsi"/>
                    </w:rPr>
                    <w:t xml:space="preserve"> maisto ir veterinarijos t</w:t>
                  </w:r>
                  <w:r>
                    <w:rPr>
                      <w:rFonts w:eastAsiaTheme="minorHAnsi"/>
                    </w:rPr>
                    <w:t xml:space="preserve">arnybos Klaipėdos departamento 2021-11-11 patikrinimo pagal aktą Nr. 37VMĮP-853 metu nustatyta, kad Įstaigoje </w:t>
                  </w:r>
                  <w:r w:rsidRPr="00C96E95">
                    <w:rPr>
                      <w:rFonts w:eastAsiaTheme="minorHAnsi"/>
                    </w:rPr>
                    <w:t xml:space="preserve">savikontrolė pagal </w:t>
                  </w:r>
                  <w:r>
                    <w:rPr>
                      <w:rFonts w:eastAsiaTheme="minorHAnsi"/>
                    </w:rPr>
                    <w:t>Gerosios higienos praktikos taisykles</w:t>
                  </w:r>
                  <w:r w:rsidRPr="00C96E95">
                    <w:rPr>
                      <w:rFonts w:eastAsiaTheme="minorHAnsi"/>
                    </w:rPr>
                    <w:t xml:space="preserve"> vykdoma pilnai</w:t>
                  </w:r>
                  <w:r>
                    <w:rPr>
                      <w:rFonts w:eastAsiaTheme="minorHAnsi"/>
                    </w:rPr>
                    <w:t xml:space="preserve">, COVID-19 prevencijos pažeidimų nenustatyta. Nustatytas įrengimo neatitikimas, kuris pašalintas iš Savivaldybės biudžeto Higienos reikalavimų įgyvendinimui skirtų lėšų (3000 Eur), įsigijus elektrinę keptuvę. </w:t>
                  </w:r>
                </w:p>
                <w:p w:rsidR="001C7EAD" w:rsidRDefault="001C7EAD" w:rsidP="001C7EAD">
                  <w:pPr>
                    <w:ind w:right="-22" w:firstLine="851"/>
                    <w:jc w:val="both"/>
                  </w:pPr>
                  <w:r w:rsidRPr="00EE0DCA">
                    <w:t xml:space="preserve">2021 m. </w:t>
                  </w:r>
                  <w:r>
                    <w:t xml:space="preserve">Įstaigoje liko neišspręstos </w:t>
                  </w:r>
                  <w:r w:rsidRPr="00A1646D">
                    <w:t>vidaus ir išorės faktorių sąlygotos problemos:</w:t>
                  </w:r>
                  <w:r>
                    <w:t xml:space="preserve"> </w:t>
                  </w:r>
                </w:p>
                <w:p w:rsidR="001C7EAD" w:rsidRDefault="001C7EAD" w:rsidP="001C7EAD">
                  <w:pPr>
                    <w:pStyle w:val="Sraopastraipa"/>
                    <w:numPr>
                      <w:ilvl w:val="0"/>
                      <w:numId w:val="4"/>
                    </w:numPr>
                    <w:tabs>
                      <w:tab w:val="left" w:pos="1029"/>
                    </w:tabs>
                    <w:ind w:left="0" w:right="-22" w:firstLine="567"/>
                    <w:jc w:val="both"/>
                  </w:pPr>
                  <w:r w:rsidRPr="001C7EAD">
                    <w:rPr>
                      <w:rFonts w:eastAsiaTheme="minorHAnsi"/>
                      <w:lang w:eastAsia="lt-LT"/>
                    </w:rPr>
                    <w:t>Neremontuotos 2 grupių patalpos netenkina vaikų poreikių ir tėvų lūkesčių.</w:t>
                  </w:r>
                  <w:r w:rsidRPr="001C7EAD">
                    <w:rPr>
                      <w:rFonts w:eastAsiaTheme="minorHAnsi"/>
                      <w:color w:val="FF0000"/>
                      <w:lang w:eastAsia="lt-LT"/>
                    </w:rPr>
                    <w:t xml:space="preserve"> </w:t>
                  </w:r>
                </w:p>
                <w:p w:rsidR="001C7EAD" w:rsidRDefault="001C7EAD" w:rsidP="001C7EAD">
                  <w:pPr>
                    <w:pStyle w:val="Sraopastraipa"/>
                    <w:numPr>
                      <w:ilvl w:val="0"/>
                      <w:numId w:val="4"/>
                    </w:numPr>
                    <w:tabs>
                      <w:tab w:val="left" w:pos="1029"/>
                    </w:tabs>
                    <w:ind w:left="0" w:right="-22" w:firstLine="567"/>
                    <w:jc w:val="both"/>
                  </w:pPr>
                  <w:r w:rsidRPr="001C7EAD">
                    <w:rPr>
                      <w:rFonts w:eastAsiaTheme="minorHAnsi"/>
                      <w:lang w:eastAsia="lt-LT"/>
                    </w:rPr>
                    <w:t xml:space="preserve">Dėl lėšų informacinių ir komunikacinių technologijų įsigijimui stokos ir Įstaigos veikloje naudojamos pasenusios kompiuterinės technikos yra apsunkintas personalo, dokumentų valdymo sistemų diegimas ir naudojimas, nekuriamos šiuolaikiškos interaktyvios edukacinės aplinkos. </w:t>
                  </w:r>
                </w:p>
                <w:p w:rsidR="001C7EAD" w:rsidRPr="001C7EAD" w:rsidRDefault="001C7EAD" w:rsidP="001C7EAD">
                  <w:pPr>
                    <w:pStyle w:val="Sraopastraipa"/>
                    <w:numPr>
                      <w:ilvl w:val="0"/>
                      <w:numId w:val="4"/>
                    </w:numPr>
                    <w:tabs>
                      <w:tab w:val="left" w:pos="1029"/>
                    </w:tabs>
                    <w:ind w:left="0" w:right="-22" w:firstLine="567"/>
                    <w:jc w:val="both"/>
                  </w:pPr>
                  <w:r w:rsidRPr="001C7EAD">
                    <w:rPr>
                      <w:rFonts w:eastAsiaTheme="minorHAnsi"/>
                      <w:lang w:eastAsia="lt-LT"/>
                    </w:rPr>
                    <w:t>Kasmet blogėjanti pastato išorės (laukinės sienos, tambūrai, pamatai) būklė.</w:t>
                  </w:r>
                </w:p>
                <w:p w:rsidR="00A0069E" w:rsidRPr="00CC69EB" w:rsidRDefault="00A0069E" w:rsidP="001C7EAD">
                  <w:pPr>
                    <w:shd w:val="clear" w:color="auto" w:fill="FFFFFF"/>
                    <w:tabs>
                      <w:tab w:val="left" w:pos="1029"/>
                    </w:tabs>
                    <w:spacing w:line="259" w:lineRule="auto"/>
                    <w:ind w:firstLine="851"/>
                    <w:jc w:val="both"/>
                    <w:rPr>
                      <w:rFonts w:eastAsiaTheme="minorHAnsi"/>
                      <w:lang w:eastAsia="lt-LT"/>
                    </w:rPr>
                  </w:pPr>
                  <w:r>
                    <w:rPr>
                      <w:rFonts w:eastAsiaTheme="minorHAnsi"/>
                      <w:lang w:eastAsia="lt-LT"/>
                    </w:rPr>
                    <w:t xml:space="preserve"> </w:t>
                  </w:r>
                </w:p>
                <w:p w:rsidR="00A0069E" w:rsidRDefault="00A0069E" w:rsidP="00A0069E">
                  <w:pPr>
                    <w:ind w:firstLine="851"/>
                    <w:jc w:val="both"/>
                  </w:pPr>
                  <w:r w:rsidRPr="00D248F2">
                    <w:lastRenderedPageBreak/>
                    <w:t>Planuodama 202</w:t>
                  </w:r>
                  <w:r>
                    <w:t>2 m. veiklą, Įstaigos</w:t>
                  </w:r>
                  <w:r w:rsidRPr="00D248F2">
                    <w:t xml:space="preserve"> bendruomenė susitarė dėl tokių </w:t>
                  </w:r>
                  <w:r>
                    <w:t xml:space="preserve">veiklos </w:t>
                  </w:r>
                  <w:r w:rsidRPr="00D248F2">
                    <w:t>prioritetų</w:t>
                  </w:r>
                  <w:r>
                    <w:t>: vaikų ugdymosi pasiekimų gerinimas, švietimo pagalbos skirtingų poreikių vaikams teikimo veiksmingumo didinimas, ugdymo(si) proceso organizavimo tobulinimas.</w:t>
                  </w:r>
                </w:p>
                <w:p w:rsidR="00A0069E" w:rsidRDefault="00A0069E" w:rsidP="00A0069E">
                  <w:pPr>
                    <w:ind w:firstLine="851"/>
                    <w:jc w:val="both"/>
                  </w:pPr>
                </w:p>
                <w:p w:rsidR="00A672AA" w:rsidRDefault="00A672AA" w:rsidP="00A0069E">
                  <w:pPr>
                    <w:ind w:firstLine="851"/>
                    <w:jc w:val="both"/>
                  </w:pPr>
                </w:p>
                <w:p w:rsidR="00A672AA" w:rsidRPr="00832CC9" w:rsidRDefault="00A672AA" w:rsidP="00A672AA">
                  <w:pPr>
                    <w:tabs>
                      <w:tab w:val="left" w:pos="7371"/>
                    </w:tabs>
                    <w:jc w:val="both"/>
                  </w:pPr>
                  <w:r>
                    <w:t>Direktorė</w:t>
                  </w:r>
                  <w:r>
                    <w:tab/>
                    <w:t>Armida Baltrušaitienė</w:t>
                  </w:r>
                </w:p>
                <w:p w:rsidR="00A672AA" w:rsidRDefault="00A672AA" w:rsidP="00A0069E">
                  <w:pPr>
                    <w:ind w:firstLine="851"/>
                    <w:jc w:val="both"/>
                  </w:pPr>
                </w:p>
                <w:p w:rsidR="00A0069E" w:rsidRDefault="00A0069E" w:rsidP="00A0069E">
                  <w:pPr>
                    <w:ind w:firstLine="851"/>
                    <w:jc w:val="both"/>
                    <w:rPr>
                      <w:lang w:eastAsia="lt-LT"/>
                    </w:rPr>
                  </w:pPr>
                  <w:bookmarkStart w:id="2" w:name="_GoBack"/>
                  <w:bookmarkEnd w:id="2"/>
                </w:p>
              </w:tc>
            </w:tr>
            <w:tr w:rsidR="001C7EAD" w:rsidTr="00A0069E">
              <w:tc>
                <w:tcPr>
                  <w:tcW w:w="9747" w:type="dxa"/>
                </w:tcPr>
                <w:p w:rsidR="001C7EAD" w:rsidRDefault="001C7EAD" w:rsidP="00A0069E">
                  <w:pPr>
                    <w:ind w:firstLine="851"/>
                    <w:jc w:val="both"/>
                  </w:pPr>
                </w:p>
              </w:tc>
            </w:tr>
          </w:tbl>
          <w:p w:rsidR="006C4F29" w:rsidRDefault="006C4F29" w:rsidP="006C4F29">
            <w:pPr>
              <w:ind w:firstLine="567"/>
              <w:jc w:val="both"/>
              <w:rPr>
                <w:lang w:eastAsia="lt-LT"/>
              </w:rPr>
            </w:pPr>
          </w:p>
        </w:tc>
      </w:tr>
    </w:tbl>
    <w:p w:rsidR="00D57F27" w:rsidRPr="00832CC9" w:rsidRDefault="00D57F27" w:rsidP="00CD7139">
      <w:pPr>
        <w:tabs>
          <w:tab w:val="left" w:pos="7371"/>
        </w:tabs>
        <w:jc w:val="both"/>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D7139">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3660E"/>
    <w:multiLevelType w:val="hybridMultilevel"/>
    <w:tmpl w:val="D790499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2A3033F7"/>
    <w:multiLevelType w:val="hybridMultilevel"/>
    <w:tmpl w:val="2D547FBC"/>
    <w:lvl w:ilvl="0" w:tplc="3294BD5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2D420055"/>
    <w:multiLevelType w:val="hybridMultilevel"/>
    <w:tmpl w:val="6B3AFDD0"/>
    <w:lvl w:ilvl="0" w:tplc="48264EDA">
      <w:start w:val="9"/>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 w15:restartNumberingAfterBreak="0">
    <w:nsid w:val="4E6F4671"/>
    <w:multiLevelType w:val="hybridMultilevel"/>
    <w:tmpl w:val="3BEE86F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E3BE2"/>
    <w:rsid w:val="001136B9"/>
    <w:rsid w:val="0019615E"/>
    <w:rsid w:val="001C7EAD"/>
    <w:rsid w:val="002F543E"/>
    <w:rsid w:val="0034183E"/>
    <w:rsid w:val="004476DD"/>
    <w:rsid w:val="004F5C7E"/>
    <w:rsid w:val="00557389"/>
    <w:rsid w:val="00597EE8"/>
    <w:rsid w:val="005B434A"/>
    <w:rsid w:val="005F495C"/>
    <w:rsid w:val="0069681E"/>
    <w:rsid w:val="006C4F29"/>
    <w:rsid w:val="00832CC9"/>
    <w:rsid w:val="008354D5"/>
    <w:rsid w:val="008E6E82"/>
    <w:rsid w:val="00A0069E"/>
    <w:rsid w:val="00A672AA"/>
    <w:rsid w:val="00AF7D08"/>
    <w:rsid w:val="00B159EA"/>
    <w:rsid w:val="00B750B6"/>
    <w:rsid w:val="00C57681"/>
    <w:rsid w:val="00CA4D3B"/>
    <w:rsid w:val="00CD7139"/>
    <w:rsid w:val="00D20076"/>
    <w:rsid w:val="00D42B72"/>
    <w:rsid w:val="00D57F27"/>
    <w:rsid w:val="00E33871"/>
    <w:rsid w:val="00E56A73"/>
    <w:rsid w:val="00F1275A"/>
    <w:rsid w:val="00F47BC3"/>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BF2C65-CF86-414C-A201-DE4D3CB6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47BC3"/>
    <w:pPr>
      <w:ind w:left="720"/>
      <w:contextualSpacing/>
    </w:pPr>
    <w:rPr>
      <w:szCs w:val="20"/>
    </w:rPr>
  </w:style>
  <w:style w:type="character" w:styleId="Hipersaitas">
    <w:name w:val="Hyperlink"/>
    <w:uiPriority w:val="99"/>
    <w:rsid w:val="00F47BC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vietimonaujieno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7554</Words>
  <Characters>4307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6</cp:revision>
  <dcterms:created xsi:type="dcterms:W3CDTF">2022-03-01T09:09:00Z</dcterms:created>
  <dcterms:modified xsi:type="dcterms:W3CDTF">2022-03-02T08:04:00Z</dcterms:modified>
</cp:coreProperties>
</file>